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01D4" w14:textId="1D1495DC" w:rsidR="00244A26" w:rsidRDefault="00244A26" w:rsidP="00DF7D8D">
      <w:pPr>
        <w:rPr>
          <w:rFonts w:ascii="Amasis MT Pro" w:hAnsi="Amasis MT Pro"/>
        </w:rPr>
      </w:pPr>
      <w:r>
        <w:rPr>
          <w:rFonts w:ascii="Amasis MT Pro" w:hAnsi="Amasis MT Pro"/>
        </w:rPr>
        <w:t xml:space="preserve">To: Appeals </w:t>
      </w:r>
    </w:p>
    <w:p w14:paraId="6CE8E24F" w14:textId="18BF9EA8" w:rsidR="00244A26" w:rsidRDefault="00244A26" w:rsidP="00DF7D8D">
      <w:pPr>
        <w:rPr>
          <w:rFonts w:ascii="Amasis MT Pro" w:hAnsi="Amasis MT Pro"/>
        </w:rPr>
      </w:pPr>
      <w:r>
        <w:rPr>
          <w:rFonts w:ascii="Amasis MT Pro" w:hAnsi="Amasis MT Pro"/>
        </w:rPr>
        <w:t>Date:</w:t>
      </w:r>
    </w:p>
    <w:p w14:paraId="0C737DDD" w14:textId="05D525A8" w:rsidR="00244A26" w:rsidRDefault="00244A26" w:rsidP="00DF7D8D">
      <w:pPr>
        <w:rPr>
          <w:rFonts w:ascii="Amasis MT Pro" w:hAnsi="Amasis MT Pro"/>
        </w:rPr>
      </w:pPr>
      <w:r>
        <w:rPr>
          <w:rFonts w:ascii="Amasis MT Pro" w:hAnsi="Amasis MT Pro"/>
        </w:rPr>
        <w:t xml:space="preserve">Re: </w:t>
      </w:r>
      <w:r w:rsidRPr="00244A26">
        <w:rPr>
          <w:rFonts w:ascii="Amasis MT Pro" w:hAnsi="Amasis MT Pro"/>
          <w:highlight w:val="yellow"/>
        </w:rPr>
        <w:t>MEMBER NAME, DOB, POLICY NUMBER</w:t>
      </w:r>
    </w:p>
    <w:p w14:paraId="3D0A16C8" w14:textId="417AA2AD" w:rsidR="00244A26" w:rsidRDefault="00244A26" w:rsidP="00DF7D8D">
      <w:pPr>
        <w:rPr>
          <w:rFonts w:ascii="Amasis MT Pro" w:hAnsi="Amasis MT Pro"/>
        </w:rPr>
      </w:pPr>
      <w:r>
        <w:rPr>
          <w:rFonts w:ascii="Amasis MT Pro" w:hAnsi="Amasis MT Pro"/>
        </w:rPr>
        <w:t xml:space="preserve">Appeal of Improperly Denied Services </w:t>
      </w:r>
      <w:r w:rsidRPr="00244A26">
        <w:rPr>
          <w:rFonts w:ascii="Amasis MT Pro" w:hAnsi="Amasis MT Pro"/>
          <w:highlight w:val="yellow"/>
        </w:rPr>
        <w:t>DATES OF SERVICE</w:t>
      </w:r>
    </w:p>
    <w:p w14:paraId="327EA1BC" w14:textId="77777777" w:rsidR="00244A26" w:rsidRDefault="00244A26" w:rsidP="00DF7D8D">
      <w:pPr>
        <w:rPr>
          <w:rFonts w:ascii="Amasis MT Pro" w:hAnsi="Amasis MT Pro"/>
        </w:rPr>
      </w:pPr>
    </w:p>
    <w:p w14:paraId="115A676F" w14:textId="3D3EEFB4" w:rsidR="00DF7D8D" w:rsidRPr="00154A6B" w:rsidRDefault="00DF7D8D" w:rsidP="00DF7D8D">
      <w:pPr>
        <w:rPr>
          <w:rFonts w:ascii="Amasis MT Pro" w:hAnsi="Amasis MT Pro"/>
        </w:rPr>
      </w:pPr>
      <w:r w:rsidRPr="00154A6B">
        <w:rPr>
          <w:rFonts w:ascii="Amasis MT Pro" w:hAnsi="Amasis MT Pro"/>
        </w:rPr>
        <w:t xml:space="preserve">It has come to </w:t>
      </w:r>
      <w:r w:rsidR="00154A6B" w:rsidRPr="00154A6B">
        <w:rPr>
          <w:rFonts w:ascii="Amasis MT Pro" w:hAnsi="Amasis MT Pro"/>
        </w:rPr>
        <w:t xml:space="preserve">my </w:t>
      </w:r>
      <w:r w:rsidRPr="00154A6B">
        <w:rPr>
          <w:rFonts w:ascii="Amasis MT Pro" w:hAnsi="Amasis MT Pro"/>
        </w:rPr>
        <w:t>attention that</w:t>
      </w:r>
      <w:r w:rsidR="0096685A">
        <w:rPr>
          <w:rFonts w:ascii="Amasis MT Pro" w:hAnsi="Amasis MT Pro"/>
        </w:rPr>
        <w:t xml:space="preserve"> this company</w:t>
      </w:r>
      <w:r w:rsidR="00154A6B" w:rsidRPr="00154A6B">
        <w:rPr>
          <w:rFonts w:ascii="Amasis MT Pro" w:hAnsi="Amasis MT Pro"/>
        </w:rPr>
        <w:t xml:space="preserve"> is</w:t>
      </w:r>
      <w:r w:rsidRPr="00154A6B">
        <w:rPr>
          <w:rFonts w:ascii="Amasis MT Pro" w:hAnsi="Amasis MT Pro"/>
        </w:rPr>
        <w:t xml:space="preserve"> attempting to justify visit limits on nutrition counseling </w:t>
      </w:r>
      <w:r w:rsidR="00154A6B" w:rsidRPr="00154A6B">
        <w:rPr>
          <w:rFonts w:ascii="Amasis MT Pro" w:hAnsi="Amasis MT Pro"/>
        </w:rPr>
        <w:t xml:space="preserve">(CPT code 97803) </w:t>
      </w:r>
      <w:r w:rsidRPr="00154A6B">
        <w:rPr>
          <w:rFonts w:ascii="Amasis MT Pro" w:hAnsi="Amasis MT Pro"/>
        </w:rPr>
        <w:t xml:space="preserve">for </w:t>
      </w:r>
      <w:r w:rsidR="00CD016F">
        <w:rPr>
          <w:rFonts w:ascii="Amasis MT Pro" w:hAnsi="Amasis MT Pro"/>
        </w:rPr>
        <w:t xml:space="preserve">my </w:t>
      </w:r>
      <w:r w:rsidRPr="00154A6B">
        <w:rPr>
          <w:rFonts w:ascii="Amasis MT Pro" w:hAnsi="Amasis MT Pro"/>
        </w:rPr>
        <w:t xml:space="preserve">eating disorder </w:t>
      </w:r>
      <w:r w:rsidR="00154A6B" w:rsidRPr="00154A6B">
        <w:rPr>
          <w:rFonts w:ascii="Amasis MT Pro" w:hAnsi="Amasis MT Pro"/>
        </w:rPr>
        <w:t>(ICD-10-CM code F50.</w:t>
      </w:r>
      <w:r w:rsidR="00154A6B" w:rsidRPr="006A1A7F">
        <w:rPr>
          <w:rFonts w:ascii="Amasis MT Pro" w:hAnsi="Amasis MT Pro"/>
          <w:highlight w:val="yellow"/>
        </w:rPr>
        <w:t>xxx)</w:t>
      </w:r>
      <w:r w:rsidR="00154A6B" w:rsidRPr="00154A6B">
        <w:rPr>
          <w:rFonts w:ascii="Amasis MT Pro" w:hAnsi="Amasis MT Pro"/>
        </w:rPr>
        <w:t xml:space="preserve"> </w:t>
      </w:r>
      <w:r w:rsidRPr="00154A6B">
        <w:rPr>
          <w:rFonts w:ascii="Amasis MT Pro" w:hAnsi="Amasis MT Pro"/>
        </w:rPr>
        <w:t xml:space="preserve">by claiming that self-funded insurance plans do not have to comply with </w:t>
      </w:r>
      <w:r w:rsidR="00154A6B" w:rsidRPr="00154A6B">
        <w:rPr>
          <w:rFonts w:ascii="Amasis MT Pro" w:hAnsi="Amasis MT Pro"/>
        </w:rPr>
        <w:t>MHPAEA (the M</w:t>
      </w:r>
      <w:r w:rsidRPr="00154A6B">
        <w:rPr>
          <w:rFonts w:ascii="Amasis MT Pro" w:hAnsi="Amasis MT Pro"/>
        </w:rPr>
        <w:t>ental Health Parity and Addiction Equity Act).</w:t>
      </w:r>
    </w:p>
    <w:p w14:paraId="262D9702" w14:textId="54ADABD0" w:rsidR="00DF7D8D" w:rsidRPr="00154A6B" w:rsidRDefault="00DF7D8D" w:rsidP="00DF7D8D">
      <w:pPr>
        <w:rPr>
          <w:rFonts w:ascii="Amasis MT Pro" w:hAnsi="Amasis MT Pro"/>
        </w:rPr>
      </w:pPr>
      <w:r w:rsidRPr="00154A6B">
        <w:rPr>
          <w:rFonts w:ascii="Amasis MT Pro" w:hAnsi="Amasis MT Pro"/>
        </w:rPr>
        <w:t>This is not correct.</w:t>
      </w:r>
    </w:p>
    <w:p w14:paraId="0F7B68C5" w14:textId="10A44706" w:rsidR="00154A6B" w:rsidRPr="00154A6B" w:rsidRDefault="00154A6B" w:rsidP="00DF7D8D">
      <w:pPr>
        <w:rPr>
          <w:rFonts w:ascii="Amasis MT Pro" w:hAnsi="Amasis MT Pro"/>
        </w:rPr>
      </w:pPr>
      <w:r w:rsidRPr="00154A6B">
        <w:rPr>
          <w:rFonts w:ascii="Amasis MT Pro" w:hAnsi="Amasis MT Pro"/>
        </w:rPr>
        <w:t>Here are the facts:</w:t>
      </w:r>
    </w:p>
    <w:p w14:paraId="74CB3BE3" w14:textId="2D7AF9F0" w:rsidR="008E4B87" w:rsidRPr="006A1A7F" w:rsidRDefault="008E4B87" w:rsidP="006A1A7F">
      <w:pPr>
        <w:pStyle w:val="ListParagraph"/>
        <w:numPr>
          <w:ilvl w:val="0"/>
          <w:numId w:val="7"/>
        </w:numPr>
        <w:rPr>
          <w:rFonts w:ascii="Amasis MT Pro" w:hAnsi="Amasis MT Pro"/>
        </w:rPr>
      </w:pPr>
      <w:r w:rsidRPr="006A1A7F">
        <w:rPr>
          <w:rFonts w:ascii="Amasis MT Pro" w:hAnsi="Amasis MT Pro"/>
        </w:rPr>
        <w:t>Eating disorders are mental health conditions subject to mental health regulations</w:t>
      </w:r>
      <w:r w:rsidR="00154A6B" w:rsidRPr="006A1A7F">
        <w:rPr>
          <w:rFonts w:ascii="Amasis MT Pro" w:hAnsi="Amasis MT Pro"/>
        </w:rPr>
        <w:t>.</w:t>
      </w:r>
    </w:p>
    <w:p w14:paraId="63EE20F4" w14:textId="77777777" w:rsidR="008E4BFE" w:rsidRDefault="00154A6B" w:rsidP="00B00BA5">
      <w:pPr>
        <w:pStyle w:val="ListParagraph"/>
        <w:numPr>
          <w:ilvl w:val="0"/>
          <w:numId w:val="7"/>
        </w:numPr>
        <w:rPr>
          <w:rFonts w:ascii="Amasis MT Pro" w:hAnsi="Amasis MT Pro"/>
        </w:rPr>
      </w:pPr>
      <w:r w:rsidRPr="008E4BFE">
        <w:rPr>
          <w:rFonts w:ascii="Amasis MT Pro" w:hAnsi="Amasis MT Pro"/>
        </w:rPr>
        <w:t>Mental health benefits must comply with MH</w:t>
      </w:r>
      <w:r w:rsidR="008E4B87" w:rsidRPr="008E4BFE">
        <w:rPr>
          <w:rFonts w:ascii="Amasis MT Pro" w:hAnsi="Amasis MT Pro"/>
        </w:rPr>
        <w:t>PAE</w:t>
      </w:r>
      <w:r w:rsidRPr="008E4BFE">
        <w:rPr>
          <w:rFonts w:ascii="Amasis MT Pro" w:hAnsi="Amasis MT Pro"/>
        </w:rPr>
        <w:t>A, even when treatment is</w:t>
      </w:r>
      <w:r w:rsidR="008E4B87" w:rsidRPr="008E4BFE">
        <w:rPr>
          <w:rFonts w:ascii="Amasis MT Pro" w:hAnsi="Amasis MT Pro"/>
        </w:rPr>
        <w:t xml:space="preserve"> by a medical </w:t>
      </w:r>
      <w:r w:rsidRPr="008E4BFE">
        <w:rPr>
          <w:rFonts w:ascii="Amasis MT Pro" w:hAnsi="Amasis MT Pro"/>
        </w:rPr>
        <w:t>provider</w:t>
      </w:r>
      <w:r w:rsidR="008E4B87" w:rsidRPr="008E4BFE">
        <w:rPr>
          <w:rFonts w:ascii="Amasis MT Pro" w:hAnsi="Amasis MT Pro"/>
        </w:rPr>
        <w:t>.</w:t>
      </w:r>
    </w:p>
    <w:p w14:paraId="598D9027" w14:textId="17EEA041" w:rsidR="008E4BFE" w:rsidRDefault="008E4BFE" w:rsidP="00B00BA5">
      <w:pPr>
        <w:pStyle w:val="ListParagraph"/>
        <w:numPr>
          <w:ilvl w:val="0"/>
          <w:numId w:val="7"/>
        </w:numPr>
        <w:rPr>
          <w:rFonts w:ascii="Amasis MT Pro" w:hAnsi="Amasis MT Pro"/>
        </w:rPr>
      </w:pPr>
      <w:r>
        <w:rPr>
          <w:rFonts w:ascii="Amasis MT Pro" w:hAnsi="Amasis MT Pro"/>
        </w:rPr>
        <w:t>Insurance coverage provided by an employer of over 50 employees must comply with MHPAEA.</w:t>
      </w:r>
    </w:p>
    <w:p w14:paraId="0C0FF6AE" w14:textId="6F70EAEE" w:rsidR="00DF7D8D" w:rsidRPr="008E4BFE" w:rsidRDefault="008E4BFE" w:rsidP="00B00BA5">
      <w:pPr>
        <w:pStyle w:val="ListParagraph"/>
        <w:numPr>
          <w:ilvl w:val="0"/>
          <w:numId w:val="7"/>
        </w:numPr>
        <w:rPr>
          <w:rFonts w:ascii="Amasis MT Pro" w:hAnsi="Amasis MT Pro"/>
        </w:rPr>
      </w:pPr>
      <w:r>
        <w:rPr>
          <w:rFonts w:ascii="Amasis MT Pro" w:hAnsi="Amasis MT Pro"/>
        </w:rPr>
        <w:t>A</w:t>
      </w:r>
      <w:r w:rsidR="00154A6B" w:rsidRPr="008E4BFE">
        <w:rPr>
          <w:rFonts w:ascii="Amasis MT Pro" w:hAnsi="Amasis MT Pro"/>
        </w:rPr>
        <w:t xml:space="preserve"> </w:t>
      </w:r>
      <w:r w:rsidR="00DF7D8D" w:rsidRPr="008E4BFE">
        <w:rPr>
          <w:rFonts w:ascii="Amasis MT Pro" w:hAnsi="Amasis MT Pro"/>
        </w:rPr>
        <w:t xml:space="preserve">plan </w:t>
      </w:r>
      <w:r w:rsidR="00154A6B" w:rsidRPr="008E4BFE">
        <w:rPr>
          <w:rFonts w:ascii="Amasis MT Pro" w:hAnsi="Amasis MT Pro"/>
        </w:rPr>
        <w:t xml:space="preserve">that </w:t>
      </w:r>
      <w:r w:rsidR="00DF7D8D" w:rsidRPr="008E4BFE">
        <w:rPr>
          <w:rFonts w:ascii="Amasis MT Pro" w:hAnsi="Amasis MT Pro"/>
        </w:rPr>
        <w:t>offers mental health or substance use disorder benefits of any kind</w:t>
      </w:r>
      <w:r w:rsidR="00154A6B" w:rsidRPr="008E4BFE">
        <w:rPr>
          <w:rFonts w:ascii="Amasis MT Pro" w:hAnsi="Amasis MT Pro"/>
        </w:rPr>
        <w:t xml:space="preserve"> must</w:t>
      </w:r>
      <w:r w:rsidR="00DF7D8D" w:rsidRPr="008E4BFE">
        <w:rPr>
          <w:rFonts w:ascii="Amasis MT Pro" w:hAnsi="Amasis MT Pro"/>
        </w:rPr>
        <w:t xml:space="preserve"> </w:t>
      </w:r>
      <w:r>
        <w:rPr>
          <w:rFonts w:ascii="Amasis MT Pro" w:hAnsi="Amasis MT Pro"/>
        </w:rPr>
        <w:t>do so in accordance</w:t>
      </w:r>
      <w:r w:rsidR="00DF7D8D" w:rsidRPr="008E4BFE">
        <w:rPr>
          <w:rFonts w:ascii="Amasis MT Pro" w:hAnsi="Amasis MT Pro"/>
        </w:rPr>
        <w:t xml:space="preserve"> with MHPAEA.</w:t>
      </w:r>
    </w:p>
    <w:p w14:paraId="231B44B8" w14:textId="52A36901" w:rsidR="0096685A" w:rsidRPr="00154A6B" w:rsidRDefault="0096685A" w:rsidP="00DF7D8D">
      <w:pPr>
        <w:rPr>
          <w:rFonts w:ascii="Amasis MT Pro" w:hAnsi="Amasis MT Pro"/>
        </w:rPr>
      </w:pPr>
      <w:r w:rsidRPr="0096685A">
        <w:rPr>
          <w:rFonts w:ascii="Amasis MT Pro" w:hAnsi="Amasis MT Pro"/>
        </w:rPr>
        <w:t xml:space="preserve">It is possible that your regulatory affairs and </w:t>
      </w:r>
      <w:r w:rsidR="008E4BFE">
        <w:rPr>
          <w:rFonts w:ascii="Amasis MT Pro" w:hAnsi="Amasis MT Pro"/>
        </w:rPr>
        <w:t>compliance</w:t>
      </w:r>
      <w:r w:rsidRPr="0096685A">
        <w:rPr>
          <w:rFonts w:ascii="Amasis MT Pro" w:hAnsi="Amasis MT Pro"/>
        </w:rPr>
        <w:t xml:space="preserve"> departments are not up to date and do not realize that the provision of MHPAEA that allows self-funded policies to “opt out” of compliance with MHPAEA has been discontinued. EBSA </w:t>
      </w:r>
      <w:r w:rsidR="008E4BFE">
        <w:rPr>
          <w:rFonts w:ascii="Amasis MT Pro" w:hAnsi="Amasis MT Pro"/>
        </w:rPr>
        <w:t xml:space="preserve">(the Employee Benefit Security Administration) </w:t>
      </w:r>
      <w:r w:rsidRPr="0096685A">
        <w:rPr>
          <w:rFonts w:ascii="Amasis MT Pro" w:hAnsi="Amasis MT Pro"/>
        </w:rPr>
        <w:t>has stated that “Issuers and plans, in conjunction with their TPAs for self-funded group health plans, have had ample time to develop the internal structures required for analyzing NQTLs to ensure that their plans and coverage comply with MHPAEA.”</w:t>
      </w:r>
    </w:p>
    <w:p w14:paraId="2DF74BDA" w14:textId="77777777" w:rsidR="00D51160" w:rsidRDefault="00D51160" w:rsidP="00D51160">
      <w:pPr>
        <w:rPr>
          <w:rFonts w:ascii="Amasis MT Pro" w:hAnsi="Amasis MT Pro"/>
        </w:rPr>
      </w:pPr>
      <w:r w:rsidRPr="006A1A7F">
        <w:rPr>
          <w:rFonts w:ascii="Amasis MT Pro" w:hAnsi="Amasis MT Pro"/>
        </w:rPr>
        <w:t xml:space="preserve">The Department of Labor has publicly stated they will look closely at nutritional counseling restrictions for eating disorders to ensure that patients do not face barriers to treatment for these conditions. </w:t>
      </w:r>
    </w:p>
    <w:p w14:paraId="0D52B74F" w14:textId="77777777" w:rsidR="00244A26" w:rsidRPr="006A1A7F" w:rsidRDefault="00244A26" w:rsidP="00244A26">
      <w:pPr>
        <w:rPr>
          <w:rFonts w:ascii="Amasis MT Pro" w:hAnsi="Amasis MT Pro"/>
        </w:rPr>
      </w:pPr>
      <w:r w:rsidRPr="006A1A7F">
        <w:rPr>
          <w:rFonts w:ascii="Amasis MT Pro" w:hAnsi="Amasis MT Pro"/>
        </w:rPr>
        <w:t xml:space="preserve">Even if </w:t>
      </w:r>
      <w:r w:rsidRPr="00244A26">
        <w:rPr>
          <w:rFonts w:ascii="Amasis MT Pro" w:hAnsi="Amasis MT Pro"/>
          <w:highlight w:val="yellow"/>
        </w:rPr>
        <w:t>[INSURANCE COMPANY NAME]</w:t>
      </w:r>
      <w:r>
        <w:rPr>
          <w:rFonts w:ascii="Amasis MT Pro" w:hAnsi="Amasis MT Pro"/>
        </w:rPr>
        <w:t xml:space="preserve"> </w:t>
      </w:r>
      <w:r w:rsidRPr="006A1A7F">
        <w:rPr>
          <w:rFonts w:ascii="Amasis MT Pro" w:hAnsi="Amasis MT Pro"/>
        </w:rPr>
        <w:t xml:space="preserve">is not intentionally discriminating against individuals with eating disorders, that is what is happening in practice. I feel sure that </w:t>
      </w:r>
      <w:r>
        <w:rPr>
          <w:rFonts w:ascii="Amasis MT Pro" w:hAnsi="Amasis MT Pro"/>
        </w:rPr>
        <w:t>you</w:t>
      </w:r>
      <w:r w:rsidRPr="006A1A7F">
        <w:rPr>
          <w:rFonts w:ascii="Amasis MT Pro" w:hAnsi="Amasis MT Pro"/>
        </w:rPr>
        <w:t xml:space="preserve"> will want to quickly </w:t>
      </w:r>
      <w:r>
        <w:rPr>
          <w:rFonts w:ascii="Amasis MT Pro" w:hAnsi="Amasis MT Pro"/>
        </w:rPr>
        <w:t>approve my care</w:t>
      </w:r>
      <w:r w:rsidRPr="006A1A7F">
        <w:rPr>
          <w:rFonts w:ascii="Amasis MT Pro" w:hAnsi="Amasis MT Pro"/>
        </w:rPr>
        <w:t xml:space="preserve"> as well as change the way policies are written and interpreted to avoid both regulatory scrutiny and potential legal consequences, because federal and state enforcement agencies have repeatedly called out failure to cover nutrition counseling for eating disorders as a violation. For example:</w:t>
      </w:r>
    </w:p>
    <w:p w14:paraId="394F016E" w14:textId="77777777" w:rsidR="00244A26" w:rsidRPr="006A1A7F" w:rsidRDefault="00244A26" w:rsidP="00244A26">
      <w:pPr>
        <w:pStyle w:val="ListParagraph"/>
        <w:numPr>
          <w:ilvl w:val="0"/>
          <w:numId w:val="2"/>
        </w:numPr>
        <w:rPr>
          <w:rFonts w:ascii="Amasis MT Pro" w:hAnsi="Amasis MT Pro"/>
        </w:rPr>
      </w:pPr>
      <w:r w:rsidRPr="006A1A7F">
        <w:rPr>
          <w:rFonts w:ascii="Amasis MT Pro" w:hAnsi="Amasis MT Pro"/>
        </w:rPr>
        <w:t xml:space="preserve">The 2022 MHPAEA Report to Congress documented instances where government regulators took action when nutritional counseling was restricted for individuals with eating disorders. In these </w:t>
      </w:r>
      <w:proofErr w:type="gramStart"/>
      <w:r w:rsidRPr="006A1A7F">
        <w:rPr>
          <w:rFonts w:ascii="Amasis MT Pro" w:hAnsi="Amasis MT Pro"/>
        </w:rPr>
        <w:t>cases</w:t>
      </w:r>
      <w:proofErr w:type="gramEnd"/>
      <w:r w:rsidRPr="006A1A7F">
        <w:rPr>
          <w:rFonts w:ascii="Amasis MT Pro" w:hAnsi="Amasis MT Pro"/>
        </w:rPr>
        <w:t xml:space="preserve"> the </w:t>
      </w:r>
      <w:r>
        <w:rPr>
          <w:rFonts w:ascii="Amasis MT Pro" w:hAnsi="Amasis MT Pro"/>
        </w:rPr>
        <w:t>EBSA</w:t>
      </w:r>
      <w:r w:rsidRPr="006A1A7F">
        <w:rPr>
          <w:rFonts w:ascii="Amasis MT Pro" w:hAnsi="Amasis MT Pro"/>
        </w:rPr>
        <w:t xml:space="preserve"> required corrective actions, including policy amendments to remove the discriminatory limitations. </w:t>
      </w:r>
    </w:p>
    <w:p w14:paraId="26F6BE7B" w14:textId="77777777" w:rsidR="00244A26" w:rsidRPr="006A1A7F" w:rsidRDefault="00244A26" w:rsidP="00244A26">
      <w:pPr>
        <w:pStyle w:val="ListParagraph"/>
        <w:numPr>
          <w:ilvl w:val="0"/>
          <w:numId w:val="2"/>
        </w:numPr>
        <w:rPr>
          <w:rFonts w:ascii="Amasis MT Pro" w:hAnsi="Amasis MT Pro"/>
        </w:rPr>
      </w:pPr>
      <w:r w:rsidRPr="006A1A7F">
        <w:rPr>
          <w:rFonts w:ascii="Amasis MT Pro" w:hAnsi="Amasis MT Pro"/>
        </w:rPr>
        <w:t>An investigation by EBSA’s Boston Regional Office found that a plan limited coverage of nutritional counseling to three visits per calendar year. In response to the investigation, the plan was amended to state that the three-visit limitation did not apply to the treatment of any mental or behavioral health diagnoses including eating disorders.</w:t>
      </w:r>
    </w:p>
    <w:p w14:paraId="62F643F5" w14:textId="77777777" w:rsidR="00244A26" w:rsidRPr="006A1A7F" w:rsidRDefault="00244A26" w:rsidP="00244A26">
      <w:pPr>
        <w:pStyle w:val="ListParagraph"/>
        <w:numPr>
          <w:ilvl w:val="0"/>
          <w:numId w:val="2"/>
        </w:numPr>
        <w:rPr>
          <w:rFonts w:ascii="Amasis MT Pro" w:hAnsi="Amasis MT Pro"/>
        </w:rPr>
      </w:pPr>
      <w:r w:rsidRPr="006A1A7F">
        <w:rPr>
          <w:rFonts w:ascii="Amasis MT Pro" w:hAnsi="Amasis MT Pro"/>
        </w:rPr>
        <w:t xml:space="preserve">The Attorney General of New York found that Cigna had illegally limited access to nutrition counseling for eating disorders and the company was compelled to revise its policies. </w:t>
      </w:r>
    </w:p>
    <w:p w14:paraId="1C99EE97" w14:textId="77777777" w:rsidR="00244A26" w:rsidRPr="006A1A7F" w:rsidRDefault="00244A26" w:rsidP="00244A26">
      <w:pPr>
        <w:pStyle w:val="ListParagraph"/>
        <w:numPr>
          <w:ilvl w:val="0"/>
          <w:numId w:val="2"/>
        </w:numPr>
        <w:rPr>
          <w:rFonts w:ascii="Amasis MT Pro" w:hAnsi="Amasis MT Pro"/>
        </w:rPr>
      </w:pPr>
      <w:r w:rsidRPr="006A1A7F">
        <w:rPr>
          <w:rFonts w:ascii="Amasis MT Pro" w:hAnsi="Amasis MT Pro"/>
        </w:rPr>
        <w:t xml:space="preserve">In response to a complaint submitted to the Attorney General of Pennsylvania, Independence Blue Cross removed all visit limitations and cost-sharing for eating disorder nutrition counseling system-wide. </w:t>
      </w:r>
    </w:p>
    <w:p w14:paraId="49829844" w14:textId="581D6597" w:rsidR="006A1A7F" w:rsidRPr="006A1A7F" w:rsidRDefault="00244A26" w:rsidP="006A1A7F">
      <w:pPr>
        <w:rPr>
          <w:rFonts w:ascii="Amasis MT Pro" w:hAnsi="Amasis MT Pro"/>
        </w:rPr>
      </w:pPr>
      <w:proofErr w:type="gramStart"/>
      <w:r>
        <w:rPr>
          <w:rFonts w:ascii="Amasis MT Pro" w:hAnsi="Amasis MT Pro"/>
        </w:rPr>
        <w:t>Therefore</w:t>
      </w:r>
      <w:proofErr w:type="gramEnd"/>
      <w:r>
        <w:rPr>
          <w:rFonts w:ascii="Amasis MT Pro" w:hAnsi="Amasis MT Pro"/>
        </w:rPr>
        <w:t xml:space="preserve"> I am requesting that you notify the correct departments to do the following</w:t>
      </w:r>
      <w:r w:rsidR="006A1A7F" w:rsidRPr="006A1A7F">
        <w:rPr>
          <w:rFonts w:ascii="Amasis MT Pro" w:hAnsi="Amasis MT Pro"/>
        </w:rPr>
        <w:t>:</w:t>
      </w:r>
    </w:p>
    <w:p w14:paraId="3B44126E" w14:textId="77777777" w:rsidR="00244A26" w:rsidRPr="006A1A7F" w:rsidRDefault="00244A26" w:rsidP="00244A26">
      <w:pPr>
        <w:pStyle w:val="ListParagraph"/>
        <w:numPr>
          <w:ilvl w:val="0"/>
          <w:numId w:val="3"/>
        </w:numPr>
        <w:rPr>
          <w:rFonts w:ascii="Amasis MT Pro" w:hAnsi="Amasis MT Pro"/>
        </w:rPr>
      </w:pPr>
      <w:r>
        <w:rPr>
          <w:rFonts w:ascii="Amasis MT Pro" w:hAnsi="Amasis MT Pro"/>
        </w:rPr>
        <w:t xml:space="preserve">Reverse the denials of my previous claims and forward payment to </w:t>
      </w:r>
      <w:r w:rsidRPr="00244A26">
        <w:rPr>
          <w:rFonts w:ascii="Amasis MT Pro" w:hAnsi="Amasis MT Pro"/>
          <w:highlight w:val="yellow"/>
        </w:rPr>
        <w:t>[specify whether payment should go to you or to your dietitian]</w:t>
      </w:r>
      <w:r>
        <w:rPr>
          <w:rFonts w:ascii="Amasis MT Pro" w:hAnsi="Amasis MT Pro"/>
        </w:rPr>
        <w:t xml:space="preserve"> immediately.</w:t>
      </w:r>
    </w:p>
    <w:p w14:paraId="647B23C4" w14:textId="4AD595A8" w:rsidR="006A1A7F" w:rsidRDefault="008E4BFE" w:rsidP="006A1A7F">
      <w:pPr>
        <w:pStyle w:val="ListParagraph"/>
        <w:numPr>
          <w:ilvl w:val="0"/>
          <w:numId w:val="3"/>
        </w:numPr>
        <w:rPr>
          <w:rFonts w:ascii="Amasis MT Pro" w:hAnsi="Amasis MT Pro"/>
        </w:rPr>
      </w:pPr>
      <w:r>
        <w:rPr>
          <w:rFonts w:ascii="Amasis MT Pro" w:hAnsi="Amasis MT Pro"/>
        </w:rPr>
        <w:t xml:space="preserve">Notify my provider and myself that </w:t>
      </w:r>
      <w:r w:rsidR="006A1A7F" w:rsidRPr="006A1A7F">
        <w:rPr>
          <w:rFonts w:ascii="Amasis MT Pro" w:hAnsi="Amasis MT Pro"/>
        </w:rPr>
        <w:t xml:space="preserve">the visit limit on my nutrition counseling has been revoked and supply a revised policy document or addendum to my current policy that indicates that my coverage </w:t>
      </w:r>
      <w:r w:rsidR="00D229CE">
        <w:rPr>
          <w:rFonts w:ascii="Amasis MT Pro" w:hAnsi="Amasis MT Pro"/>
        </w:rPr>
        <w:t xml:space="preserve">meets the standard of care </w:t>
      </w:r>
      <w:r w:rsidR="006A1A7F" w:rsidRPr="006A1A7F">
        <w:rPr>
          <w:rFonts w:ascii="Amasis MT Pro" w:hAnsi="Amasis MT Pro"/>
        </w:rPr>
        <w:t xml:space="preserve">effective </w:t>
      </w:r>
      <w:r>
        <w:rPr>
          <w:rFonts w:ascii="Amasis MT Pro" w:hAnsi="Amasis MT Pro"/>
        </w:rPr>
        <w:t>retroactively to my first date of service</w:t>
      </w:r>
      <w:r w:rsidR="006A1A7F" w:rsidRPr="006A1A7F">
        <w:rPr>
          <w:rFonts w:ascii="Amasis MT Pro" w:hAnsi="Amasis MT Pro"/>
        </w:rPr>
        <w:t>.</w:t>
      </w:r>
    </w:p>
    <w:p w14:paraId="1F2FF771" w14:textId="00816B2C" w:rsidR="006A1A7F" w:rsidRDefault="006A1A7F" w:rsidP="006A1A7F">
      <w:pPr>
        <w:pStyle w:val="ListParagraph"/>
        <w:numPr>
          <w:ilvl w:val="0"/>
          <w:numId w:val="3"/>
        </w:numPr>
        <w:rPr>
          <w:rFonts w:ascii="Amasis MT Pro" w:hAnsi="Amasis MT Pro"/>
        </w:rPr>
      </w:pPr>
      <w:r w:rsidRPr="006A1A7F">
        <w:rPr>
          <w:rFonts w:ascii="Amasis MT Pro" w:hAnsi="Amasis MT Pro"/>
        </w:rPr>
        <w:t>Communicate this change to your claims processing department so that my future claims are processed without error or need for intervention by me or my dietitian.</w:t>
      </w:r>
    </w:p>
    <w:p w14:paraId="7965631A" w14:textId="3E25CFC9" w:rsidR="006A1A7F" w:rsidRPr="006A1A7F" w:rsidRDefault="00D51160" w:rsidP="006A1A7F">
      <w:pPr>
        <w:pStyle w:val="ListParagraph"/>
        <w:numPr>
          <w:ilvl w:val="0"/>
          <w:numId w:val="3"/>
        </w:numPr>
        <w:rPr>
          <w:rFonts w:ascii="Amasis MT Pro" w:hAnsi="Amasis MT Pro"/>
        </w:rPr>
      </w:pPr>
      <w:r>
        <w:rPr>
          <w:rFonts w:ascii="Amasis MT Pro" w:hAnsi="Amasis MT Pro"/>
        </w:rPr>
        <w:t xml:space="preserve">Alert my company and all other companies for whom </w:t>
      </w:r>
      <w:r w:rsidR="00244A26" w:rsidRPr="00244A26">
        <w:rPr>
          <w:rFonts w:ascii="Amasis MT Pro" w:hAnsi="Amasis MT Pro"/>
          <w:highlight w:val="yellow"/>
        </w:rPr>
        <w:t>[INSURANCE COMPANY NAME]</w:t>
      </w:r>
      <w:r w:rsidR="00244A26">
        <w:rPr>
          <w:rFonts w:ascii="Amasis MT Pro" w:hAnsi="Amasis MT Pro"/>
        </w:rPr>
        <w:t xml:space="preserve"> served as TPA and </w:t>
      </w:r>
      <w:r>
        <w:rPr>
          <w:rFonts w:ascii="Amasis MT Pro" w:hAnsi="Amasis MT Pro"/>
        </w:rPr>
        <w:t xml:space="preserve">wrote policies with illegal visit limits on nutrition counseling for eating disorders that there was a mistake; that </w:t>
      </w:r>
      <w:r w:rsidR="00244A26" w:rsidRPr="00244A26">
        <w:rPr>
          <w:rFonts w:ascii="Amasis MT Pro" w:hAnsi="Amasis MT Pro"/>
          <w:highlight w:val="yellow"/>
        </w:rPr>
        <w:t>[INSURANCE COMPANY NAME]</w:t>
      </w:r>
      <w:r w:rsidR="00244A26">
        <w:rPr>
          <w:rFonts w:ascii="Amasis MT Pro" w:hAnsi="Amasis MT Pro"/>
        </w:rPr>
        <w:t xml:space="preserve"> </w:t>
      </w:r>
      <w:r>
        <w:rPr>
          <w:rFonts w:ascii="Amasis MT Pro" w:hAnsi="Amasis MT Pro"/>
        </w:rPr>
        <w:t>takes full responsibility</w:t>
      </w:r>
      <w:r w:rsidR="00244A26">
        <w:rPr>
          <w:rFonts w:ascii="Amasis MT Pro" w:hAnsi="Amasis MT Pro"/>
        </w:rPr>
        <w:t xml:space="preserve"> for any financial liability or legal penalty related to this mistake</w:t>
      </w:r>
      <w:r>
        <w:rPr>
          <w:rFonts w:ascii="Amasis MT Pro" w:hAnsi="Amasis MT Pro"/>
        </w:rPr>
        <w:t xml:space="preserve">; that the </w:t>
      </w:r>
      <w:r w:rsidR="00244A26">
        <w:rPr>
          <w:rFonts w:ascii="Amasis MT Pro" w:hAnsi="Amasis MT Pro"/>
        </w:rPr>
        <w:t>employers</w:t>
      </w:r>
      <w:r>
        <w:rPr>
          <w:rFonts w:ascii="Amasis MT Pro" w:hAnsi="Amasis MT Pro"/>
        </w:rPr>
        <w:t xml:space="preserve"> will not be liable for claims resulting from the improperly written policies; and that moving forward, no </w:t>
      </w:r>
      <w:r w:rsidR="00244A26" w:rsidRPr="00244A26">
        <w:rPr>
          <w:rFonts w:ascii="Amasis MT Pro" w:hAnsi="Amasis MT Pro"/>
          <w:highlight w:val="yellow"/>
        </w:rPr>
        <w:t>[INSURANCE COMPANY NAME]</w:t>
      </w:r>
      <w:r w:rsidR="00244A26">
        <w:rPr>
          <w:rFonts w:ascii="Amasis MT Pro" w:hAnsi="Amasis MT Pro"/>
        </w:rPr>
        <w:t xml:space="preserve"> </w:t>
      </w:r>
      <w:r>
        <w:rPr>
          <w:rFonts w:ascii="Amasis MT Pro" w:hAnsi="Amasis MT Pro"/>
        </w:rPr>
        <w:t>self-funded policy will limit nutrition counseling for eating disorders in compliance with the law.</w:t>
      </w:r>
    </w:p>
    <w:p w14:paraId="1767AF66" w14:textId="790DF610" w:rsidR="006A1A7F" w:rsidRDefault="006A1A7F" w:rsidP="006A1A7F">
      <w:pPr>
        <w:pStyle w:val="ListParagraph"/>
        <w:numPr>
          <w:ilvl w:val="0"/>
          <w:numId w:val="3"/>
        </w:numPr>
        <w:rPr>
          <w:rFonts w:ascii="Amasis MT Pro" w:hAnsi="Amasis MT Pro"/>
        </w:rPr>
      </w:pPr>
      <w:r w:rsidRPr="006A1A7F">
        <w:rPr>
          <w:rFonts w:ascii="Amasis MT Pro" w:hAnsi="Amasis MT Pro"/>
        </w:rPr>
        <w:t xml:space="preserve">Retroactively reprocess and approve for payment any previously denied claims for </w:t>
      </w:r>
      <w:r w:rsidR="00244A26">
        <w:rPr>
          <w:rFonts w:ascii="Amasis MT Pro" w:hAnsi="Amasis MT Pro"/>
        </w:rPr>
        <w:t xml:space="preserve">nutrition counseling for </w:t>
      </w:r>
      <w:r w:rsidR="00D51160">
        <w:rPr>
          <w:rFonts w:ascii="Amasis MT Pro" w:hAnsi="Amasis MT Pro"/>
        </w:rPr>
        <w:t xml:space="preserve">any </w:t>
      </w:r>
      <w:r w:rsidRPr="006A1A7F">
        <w:rPr>
          <w:rFonts w:ascii="Amasis MT Pro" w:hAnsi="Amasis MT Pro"/>
        </w:rPr>
        <w:t xml:space="preserve">other </w:t>
      </w:r>
      <w:r w:rsidR="00244A26" w:rsidRPr="00244A26">
        <w:rPr>
          <w:rFonts w:ascii="Amasis MT Pro" w:hAnsi="Amasis MT Pro"/>
          <w:highlight w:val="yellow"/>
        </w:rPr>
        <w:t>[INSURANCE COMPANY NAME]</w:t>
      </w:r>
      <w:r w:rsidR="00244A26">
        <w:rPr>
          <w:rFonts w:ascii="Amasis MT Pro" w:hAnsi="Amasis MT Pro"/>
        </w:rPr>
        <w:t xml:space="preserve"> </w:t>
      </w:r>
      <w:r w:rsidRPr="006A1A7F">
        <w:rPr>
          <w:rFonts w:ascii="Amasis MT Pro" w:hAnsi="Amasis MT Pro"/>
        </w:rPr>
        <w:t>members</w:t>
      </w:r>
      <w:r w:rsidR="00244A26">
        <w:rPr>
          <w:rFonts w:ascii="Amasis MT Pro" w:hAnsi="Amasis MT Pro"/>
        </w:rPr>
        <w:t xml:space="preserve"> with eating disorder diagnoses</w:t>
      </w:r>
      <w:r w:rsidRPr="006A1A7F">
        <w:rPr>
          <w:rFonts w:ascii="Amasis MT Pro" w:hAnsi="Amasis MT Pro"/>
        </w:rPr>
        <w:t xml:space="preserve"> </w:t>
      </w:r>
      <w:r w:rsidR="00D51160">
        <w:rPr>
          <w:rFonts w:ascii="Amasis MT Pro" w:hAnsi="Amasis MT Pro"/>
        </w:rPr>
        <w:t>in any location</w:t>
      </w:r>
      <w:r w:rsidR="00244A26">
        <w:rPr>
          <w:rFonts w:ascii="Amasis MT Pro" w:hAnsi="Amasis MT Pro"/>
        </w:rPr>
        <w:t>, who were impacted by an improperly written plan that included an illegal visit limitation.</w:t>
      </w:r>
    </w:p>
    <w:p w14:paraId="7D4A9284" w14:textId="77777777" w:rsidR="004B4051" w:rsidRPr="004B4051" w:rsidRDefault="004B4051" w:rsidP="004B4051">
      <w:pPr>
        <w:ind w:left="360"/>
        <w:rPr>
          <w:rFonts w:ascii="Amasis MT Pro" w:hAnsi="Amasis MT Pro"/>
        </w:rPr>
      </w:pPr>
    </w:p>
    <w:p w14:paraId="76757D3F" w14:textId="4AF6AD2F" w:rsidR="00244A26" w:rsidRDefault="00244A26" w:rsidP="006A1A7F">
      <w:pPr>
        <w:pStyle w:val="ListParagraph"/>
        <w:numPr>
          <w:ilvl w:val="0"/>
          <w:numId w:val="3"/>
        </w:numPr>
        <w:rPr>
          <w:rFonts w:ascii="Amasis MT Pro" w:hAnsi="Amasis MT Pro"/>
        </w:rPr>
      </w:pPr>
      <w:r>
        <w:rPr>
          <w:rFonts w:ascii="Amasis MT Pro" w:hAnsi="Amasis MT Pro"/>
        </w:rPr>
        <w:t>Communicate this change to your underwriters so that future policies related to nutrition counseling for eating disorder diagnoses are written in compliance with MHPAEA.</w:t>
      </w:r>
    </w:p>
    <w:p w14:paraId="5731DA3B" w14:textId="0925C2E0" w:rsidR="004B4051" w:rsidRPr="004B4051" w:rsidRDefault="004B4051" w:rsidP="004B4051">
      <w:pPr>
        <w:pStyle w:val="ListParagraph"/>
        <w:numPr>
          <w:ilvl w:val="0"/>
          <w:numId w:val="3"/>
        </w:numPr>
        <w:rPr>
          <w:rFonts w:ascii="Amasis MT Pro" w:hAnsi="Amasis MT Pro"/>
        </w:rPr>
      </w:pPr>
      <w:r>
        <w:rPr>
          <w:rFonts w:ascii="Amasis MT Pro" w:hAnsi="Amasis MT Pro"/>
        </w:rPr>
        <w:t>Communicate this change to your customer service and provider relations departments so that members and providers who call to verify benefits are informed that visit limits on nutrition counseling for eating disorders have been revoked in compliance with the law.</w:t>
      </w:r>
    </w:p>
    <w:p w14:paraId="2DD3C9DE" w14:textId="25E01961" w:rsidR="00D51160" w:rsidRDefault="00244A26" w:rsidP="00D51160">
      <w:pPr>
        <w:rPr>
          <w:rFonts w:ascii="Amasis MT Pro" w:hAnsi="Amasis MT Pro"/>
        </w:rPr>
      </w:pPr>
      <w:r>
        <w:rPr>
          <w:rFonts w:ascii="Amasis MT Pro" w:hAnsi="Amasis MT Pro"/>
          <w:highlight w:val="yellow"/>
        </w:rPr>
        <w:t xml:space="preserve">[Optional: </w:t>
      </w:r>
      <w:r w:rsidR="006A1A7F" w:rsidRPr="00244A26">
        <w:rPr>
          <w:rFonts w:ascii="Amasis MT Pro" w:hAnsi="Amasis MT Pro"/>
          <w:highlight w:val="yellow"/>
        </w:rPr>
        <w:t>I have sent copies of this letter and the attached supporting documents to the Benefits Department of my company</w:t>
      </w:r>
      <w:r w:rsidR="00D51160" w:rsidRPr="00244A26">
        <w:rPr>
          <w:rFonts w:ascii="Amasis MT Pro" w:hAnsi="Amasis MT Pro"/>
          <w:highlight w:val="yellow"/>
        </w:rPr>
        <w:t xml:space="preserve"> and </w:t>
      </w:r>
      <w:r w:rsidR="006A1A7F" w:rsidRPr="00244A26">
        <w:rPr>
          <w:rFonts w:ascii="Amasis MT Pro" w:hAnsi="Amasis MT Pro"/>
          <w:highlight w:val="yellow"/>
        </w:rPr>
        <w:t xml:space="preserve">to the </w:t>
      </w:r>
      <w:r w:rsidR="00D51160" w:rsidRPr="00244A26">
        <w:rPr>
          <w:rFonts w:ascii="Amasis MT Pro" w:hAnsi="Amasis MT Pro"/>
          <w:highlight w:val="yellow"/>
        </w:rPr>
        <w:t>Department of Labor Employee Benefit Security Administration.</w:t>
      </w:r>
      <w:r w:rsidRPr="00244A26">
        <w:rPr>
          <w:rFonts w:ascii="Amasis MT Pro" w:hAnsi="Amasis MT Pro"/>
          <w:highlight w:val="yellow"/>
        </w:rPr>
        <w:t>]</w:t>
      </w:r>
    </w:p>
    <w:p w14:paraId="15A168DD" w14:textId="08B1B3EA" w:rsidR="006A1A7F" w:rsidRPr="006A1A7F" w:rsidRDefault="00D51160" w:rsidP="006A1A7F">
      <w:pPr>
        <w:rPr>
          <w:rFonts w:ascii="Amasis MT Pro" w:hAnsi="Amasis MT Pro"/>
        </w:rPr>
      </w:pPr>
      <w:r>
        <w:rPr>
          <w:rFonts w:ascii="Amasis MT Pro" w:hAnsi="Amasis MT Pro"/>
        </w:rPr>
        <w:t>Thank you for your immediate attention.</w:t>
      </w:r>
      <w:r w:rsidR="004A65D2">
        <w:rPr>
          <w:rFonts w:ascii="Amasis MT Pro" w:hAnsi="Amasis MT Pro"/>
        </w:rPr>
        <w:t xml:space="preserve"> I await your response.</w:t>
      </w:r>
    </w:p>
    <w:p w14:paraId="6AA806A2" w14:textId="4E8593C8" w:rsidR="004A65D2" w:rsidRDefault="006A1A7F" w:rsidP="006A1A7F">
      <w:pPr>
        <w:rPr>
          <w:rFonts w:ascii="Amasis MT Pro" w:hAnsi="Amasis MT Pro"/>
        </w:rPr>
      </w:pPr>
      <w:r w:rsidRPr="006A1A7F">
        <w:rPr>
          <w:rFonts w:ascii="Amasis MT Pro" w:hAnsi="Amasis MT Pro"/>
        </w:rPr>
        <w:t xml:space="preserve">Please feel free to forward this letter and the attached documents to </w:t>
      </w:r>
      <w:r w:rsidR="004B4051">
        <w:rPr>
          <w:rFonts w:ascii="Amasis MT Pro" w:hAnsi="Amasis MT Pro"/>
        </w:rPr>
        <w:t>the appropriate departments.</w:t>
      </w:r>
    </w:p>
    <w:p w14:paraId="46588DC6" w14:textId="49697D55" w:rsidR="004B4051" w:rsidRDefault="004B4051" w:rsidP="006A1A7F">
      <w:pPr>
        <w:rPr>
          <w:rFonts w:ascii="Amasis MT Pro" w:hAnsi="Amasis MT Pro"/>
        </w:rPr>
      </w:pPr>
      <w:r>
        <w:rPr>
          <w:rFonts w:ascii="Amasis MT Pro" w:hAnsi="Amasis MT Pro"/>
          <w:highlight w:val="yellow"/>
        </w:rPr>
        <w:t>[</w:t>
      </w:r>
      <w:r w:rsidRPr="004B4051">
        <w:rPr>
          <w:rFonts w:ascii="Amasis MT Pro" w:hAnsi="Amasis MT Pro"/>
          <w:highlight w:val="yellow"/>
        </w:rPr>
        <w:t>Your Name]</w:t>
      </w:r>
    </w:p>
    <w:sectPr w:rsidR="004B40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0F6E" w14:textId="77777777" w:rsidR="00A74A14" w:rsidRDefault="00A74A14" w:rsidP="00154A6B">
      <w:pPr>
        <w:spacing w:after="0" w:line="240" w:lineRule="auto"/>
      </w:pPr>
      <w:r>
        <w:separator/>
      </w:r>
    </w:p>
  </w:endnote>
  <w:endnote w:type="continuationSeparator" w:id="0">
    <w:p w14:paraId="26854D29" w14:textId="77777777" w:rsidR="00A74A14" w:rsidRDefault="00A74A14" w:rsidP="0015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F971" w14:textId="77777777" w:rsidR="00A74A14" w:rsidRDefault="00A74A14" w:rsidP="00154A6B">
      <w:pPr>
        <w:spacing w:after="0" w:line="240" w:lineRule="auto"/>
      </w:pPr>
      <w:r>
        <w:separator/>
      </w:r>
    </w:p>
  </w:footnote>
  <w:footnote w:type="continuationSeparator" w:id="0">
    <w:p w14:paraId="71D7CF66" w14:textId="77777777" w:rsidR="00A74A14" w:rsidRDefault="00A74A14" w:rsidP="0015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D6B1" w14:textId="248E07D9" w:rsidR="00154A6B" w:rsidRDefault="00154A6B" w:rsidP="00154A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C72"/>
    <w:multiLevelType w:val="hybridMultilevel"/>
    <w:tmpl w:val="AA226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4651E"/>
    <w:multiLevelType w:val="hybridMultilevel"/>
    <w:tmpl w:val="D78A7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297529"/>
    <w:multiLevelType w:val="hybridMultilevel"/>
    <w:tmpl w:val="CAD8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D46C4"/>
    <w:multiLevelType w:val="hybridMultilevel"/>
    <w:tmpl w:val="EC201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462C95"/>
    <w:multiLevelType w:val="hybridMultilevel"/>
    <w:tmpl w:val="11D6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14F9A"/>
    <w:multiLevelType w:val="hybridMultilevel"/>
    <w:tmpl w:val="3892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541EC"/>
    <w:multiLevelType w:val="hybridMultilevel"/>
    <w:tmpl w:val="5A561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8969419">
    <w:abstractNumId w:val="3"/>
  </w:num>
  <w:num w:numId="2" w16cid:durableId="1057050617">
    <w:abstractNumId w:val="4"/>
  </w:num>
  <w:num w:numId="3" w16cid:durableId="757288997">
    <w:abstractNumId w:val="5"/>
  </w:num>
  <w:num w:numId="4" w16cid:durableId="2044399893">
    <w:abstractNumId w:val="0"/>
  </w:num>
  <w:num w:numId="5" w16cid:durableId="1367831331">
    <w:abstractNumId w:val="2"/>
  </w:num>
  <w:num w:numId="6" w16cid:durableId="1301618723">
    <w:abstractNumId w:val="1"/>
  </w:num>
  <w:num w:numId="7" w16cid:durableId="180632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8D"/>
    <w:rsid w:val="00002800"/>
    <w:rsid w:val="00154A6B"/>
    <w:rsid w:val="00244A26"/>
    <w:rsid w:val="00385EA5"/>
    <w:rsid w:val="00445269"/>
    <w:rsid w:val="004A65D2"/>
    <w:rsid w:val="004B4051"/>
    <w:rsid w:val="006A1A7F"/>
    <w:rsid w:val="006A34AD"/>
    <w:rsid w:val="00736557"/>
    <w:rsid w:val="00755087"/>
    <w:rsid w:val="007B1D82"/>
    <w:rsid w:val="00850EF4"/>
    <w:rsid w:val="008E4B87"/>
    <w:rsid w:val="008E4BFE"/>
    <w:rsid w:val="0096685A"/>
    <w:rsid w:val="00975941"/>
    <w:rsid w:val="00982C9E"/>
    <w:rsid w:val="00A11F43"/>
    <w:rsid w:val="00A74A14"/>
    <w:rsid w:val="00B45DC6"/>
    <w:rsid w:val="00B7031B"/>
    <w:rsid w:val="00B86386"/>
    <w:rsid w:val="00BB416A"/>
    <w:rsid w:val="00BC2427"/>
    <w:rsid w:val="00BC5459"/>
    <w:rsid w:val="00CB6A89"/>
    <w:rsid w:val="00CD016F"/>
    <w:rsid w:val="00CF1A28"/>
    <w:rsid w:val="00D229CE"/>
    <w:rsid w:val="00D2628D"/>
    <w:rsid w:val="00D51160"/>
    <w:rsid w:val="00DF7D8D"/>
    <w:rsid w:val="00E30596"/>
    <w:rsid w:val="00FC036D"/>
    <w:rsid w:val="00FD7111"/>
    <w:rsid w:val="00FE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AD9BF"/>
  <w15:chartTrackingRefBased/>
  <w15:docId w15:val="{CC0238A1-FE65-4BA7-9220-D7D4FE2B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8D"/>
    <w:pPr>
      <w:ind w:left="720"/>
      <w:contextualSpacing/>
    </w:pPr>
  </w:style>
  <w:style w:type="paragraph" w:styleId="Header">
    <w:name w:val="header"/>
    <w:basedOn w:val="Normal"/>
    <w:link w:val="HeaderChar"/>
    <w:uiPriority w:val="99"/>
    <w:unhideWhenUsed/>
    <w:rsid w:val="00154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A6B"/>
  </w:style>
  <w:style w:type="paragraph" w:styleId="Footer">
    <w:name w:val="footer"/>
    <w:basedOn w:val="Normal"/>
    <w:link w:val="FooterChar"/>
    <w:uiPriority w:val="99"/>
    <w:unhideWhenUsed/>
    <w:rsid w:val="00154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78251">
      <w:bodyDiv w:val="1"/>
      <w:marLeft w:val="0"/>
      <w:marRight w:val="0"/>
      <w:marTop w:val="0"/>
      <w:marBottom w:val="0"/>
      <w:divBdr>
        <w:top w:val="none" w:sz="0" w:space="0" w:color="auto"/>
        <w:left w:val="none" w:sz="0" w:space="0" w:color="auto"/>
        <w:bottom w:val="none" w:sz="0" w:space="0" w:color="auto"/>
        <w:right w:val="none" w:sz="0" w:space="0" w:color="auto"/>
      </w:divBdr>
    </w:div>
    <w:div w:id="911547513">
      <w:bodyDiv w:val="1"/>
      <w:marLeft w:val="0"/>
      <w:marRight w:val="0"/>
      <w:marTop w:val="0"/>
      <w:marBottom w:val="0"/>
      <w:divBdr>
        <w:top w:val="none" w:sz="0" w:space="0" w:color="auto"/>
        <w:left w:val="none" w:sz="0" w:space="0" w:color="auto"/>
        <w:bottom w:val="none" w:sz="0" w:space="0" w:color="auto"/>
        <w:right w:val="none" w:sz="0" w:space="0" w:color="auto"/>
      </w:divBdr>
      <w:divsChild>
        <w:div w:id="447510544">
          <w:marLeft w:val="0"/>
          <w:marRight w:val="0"/>
          <w:marTop w:val="0"/>
          <w:marBottom w:val="0"/>
          <w:divBdr>
            <w:top w:val="none" w:sz="0" w:space="0" w:color="auto"/>
            <w:left w:val="none" w:sz="0" w:space="0" w:color="auto"/>
            <w:bottom w:val="none" w:sz="0" w:space="0" w:color="auto"/>
            <w:right w:val="none" w:sz="0" w:space="0" w:color="auto"/>
          </w:divBdr>
          <w:divsChild>
            <w:div w:id="268468097">
              <w:marLeft w:val="0"/>
              <w:marRight w:val="0"/>
              <w:marTop w:val="0"/>
              <w:marBottom w:val="0"/>
              <w:divBdr>
                <w:top w:val="none" w:sz="0" w:space="0" w:color="auto"/>
                <w:left w:val="none" w:sz="0" w:space="0" w:color="auto"/>
                <w:bottom w:val="none" w:sz="0" w:space="0" w:color="auto"/>
                <w:right w:val="none" w:sz="0" w:space="0" w:color="auto"/>
              </w:divBdr>
              <w:divsChild>
                <w:div w:id="1125192963">
                  <w:marLeft w:val="0"/>
                  <w:marRight w:val="0"/>
                  <w:marTop w:val="0"/>
                  <w:marBottom w:val="0"/>
                  <w:divBdr>
                    <w:top w:val="none" w:sz="0" w:space="0" w:color="auto"/>
                    <w:left w:val="none" w:sz="0" w:space="0" w:color="auto"/>
                    <w:bottom w:val="none" w:sz="0" w:space="0" w:color="auto"/>
                    <w:right w:val="none" w:sz="0" w:space="0" w:color="auto"/>
                  </w:divBdr>
                  <w:divsChild>
                    <w:div w:id="1273710275">
                      <w:marLeft w:val="0"/>
                      <w:marRight w:val="0"/>
                      <w:marTop w:val="0"/>
                      <w:marBottom w:val="0"/>
                      <w:divBdr>
                        <w:top w:val="none" w:sz="0" w:space="0" w:color="auto"/>
                        <w:left w:val="none" w:sz="0" w:space="0" w:color="auto"/>
                        <w:bottom w:val="none" w:sz="0" w:space="0" w:color="auto"/>
                        <w:right w:val="none" w:sz="0" w:space="0" w:color="auto"/>
                      </w:divBdr>
                      <w:divsChild>
                        <w:div w:id="1375302973">
                          <w:marLeft w:val="0"/>
                          <w:marRight w:val="0"/>
                          <w:marTop w:val="0"/>
                          <w:marBottom w:val="0"/>
                          <w:divBdr>
                            <w:top w:val="none" w:sz="0" w:space="0" w:color="auto"/>
                            <w:left w:val="none" w:sz="0" w:space="0" w:color="auto"/>
                            <w:bottom w:val="none" w:sz="0" w:space="0" w:color="auto"/>
                            <w:right w:val="none" w:sz="0" w:space="0" w:color="auto"/>
                          </w:divBdr>
                          <w:divsChild>
                            <w:div w:id="5216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 Mail</dc:creator>
  <cp:keywords/>
  <dc:description/>
  <cp:lastModifiedBy>Junk Mail</cp:lastModifiedBy>
  <cp:revision>2</cp:revision>
  <dcterms:created xsi:type="dcterms:W3CDTF">2025-08-08T15:21:00Z</dcterms:created>
  <dcterms:modified xsi:type="dcterms:W3CDTF">2025-08-08T15:21:00Z</dcterms:modified>
</cp:coreProperties>
</file>